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center"/>
        <w:rPr>
          <w:b/>
          <w:sz w:val="28"/>
          <w:szCs w:val="28"/>
        </w:rPr>
      </w:pPr>
      <w:r w:rsidRPr="00CF3D2B">
        <w:rPr>
          <w:b/>
          <w:sz w:val="28"/>
          <w:szCs w:val="28"/>
        </w:rPr>
        <w:t xml:space="preserve">Разработка </w:t>
      </w:r>
      <w:r w:rsidRPr="00CF3D2B">
        <w:rPr>
          <w:b/>
          <w:sz w:val="28"/>
          <w:szCs w:val="28"/>
          <w:lang w:val="en-US"/>
        </w:rPr>
        <w:t>PR</w:t>
      </w:r>
      <w:r w:rsidRPr="00CF3D2B">
        <w:rPr>
          <w:b/>
          <w:sz w:val="28"/>
          <w:szCs w:val="28"/>
        </w:rPr>
        <w:t xml:space="preserve">-кампании при слиянии компаний SBC и </w:t>
      </w:r>
      <w:proofErr w:type="spellStart"/>
      <w:r w:rsidRPr="00CF3D2B">
        <w:rPr>
          <w:b/>
          <w:sz w:val="28"/>
          <w:szCs w:val="28"/>
        </w:rPr>
        <w:t>Pacific</w:t>
      </w:r>
      <w:proofErr w:type="spellEnd"/>
      <w:r w:rsidRPr="00CF3D2B">
        <w:rPr>
          <w:b/>
          <w:sz w:val="28"/>
          <w:szCs w:val="28"/>
        </w:rPr>
        <w:t xml:space="preserve"> </w:t>
      </w:r>
      <w:proofErr w:type="spellStart"/>
      <w:proofErr w:type="gramStart"/>
      <w:r w:rsidRPr="00CF3D2B">
        <w:rPr>
          <w:b/>
          <w:sz w:val="28"/>
          <w:szCs w:val="28"/>
        </w:rPr>
        <w:t>Telesis</w:t>
      </w:r>
      <w:proofErr w:type="spellEnd"/>
      <w:r w:rsidRPr="00CF3D2B">
        <w:rPr>
          <w:b/>
          <w:sz w:val="28"/>
          <w:szCs w:val="28"/>
        </w:rPr>
        <w:t xml:space="preserve">  совместно</w:t>
      </w:r>
      <w:proofErr w:type="gramEnd"/>
      <w:r w:rsidRPr="00CF3D2B">
        <w:rPr>
          <w:b/>
          <w:sz w:val="28"/>
          <w:szCs w:val="28"/>
        </w:rPr>
        <w:t xml:space="preserve"> с агентством </w:t>
      </w:r>
      <w:proofErr w:type="spellStart"/>
      <w:r w:rsidRPr="00CF3D2B">
        <w:rPr>
          <w:b/>
          <w:sz w:val="28"/>
          <w:szCs w:val="28"/>
        </w:rPr>
        <w:t>Fleischman</w:t>
      </w:r>
      <w:proofErr w:type="spellEnd"/>
      <w:r w:rsidRPr="00CF3D2B">
        <w:rPr>
          <w:b/>
          <w:sz w:val="28"/>
          <w:szCs w:val="28"/>
        </w:rPr>
        <w:t xml:space="preserve"> — </w:t>
      </w:r>
      <w:proofErr w:type="spellStart"/>
      <w:r w:rsidRPr="00CF3D2B">
        <w:rPr>
          <w:b/>
          <w:sz w:val="28"/>
          <w:szCs w:val="28"/>
        </w:rPr>
        <w:t>Hillard</w:t>
      </w:r>
      <w:proofErr w:type="spellEnd"/>
      <w:r w:rsidRPr="00CF3D2B">
        <w:rPr>
          <w:b/>
          <w:sz w:val="28"/>
          <w:szCs w:val="28"/>
        </w:rPr>
        <w:t>. Премия «Серебряная наковальня» за 1998 г.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 http://bo0k.net/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b/>
          <w:i/>
          <w:sz w:val="28"/>
          <w:szCs w:val="28"/>
        </w:rPr>
      </w:pPr>
      <w:r w:rsidRPr="00CF3D2B">
        <w:rPr>
          <w:b/>
          <w:i/>
          <w:sz w:val="28"/>
          <w:szCs w:val="28"/>
        </w:rPr>
        <w:t>Обзор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Это было масштабное, беспрецедентное и противоречивое событие. В двух словах, слияние техасской компании SBC </w:t>
      </w:r>
      <w:proofErr w:type="spellStart"/>
      <w:r w:rsidRPr="00CF3D2B">
        <w:rPr>
          <w:sz w:val="28"/>
          <w:szCs w:val="28"/>
        </w:rPr>
        <w:t>Communications</w:t>
      </w:r>
      <w:proofErr w:type="spellEnd"/>
      <w:r w:rsidRPr="00CF3D2B">
        <w:rPr>
          <w:sz w:val="28"/>
          <w:szCs w:val="28"/>
        </w:rPr>
        <w:t xml:space="preserve"> и </w:t>
      </w:r>
      <w:proofErr w:type="spellStart"/>
      <w:r w:rsidRPr="00CF3D2B">
        <w:rPr>
          <w:sz w:val="28"/>
          <w:szCs w:val="28"/>
        </w:rPr>
        <w:t>Pacific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Telesis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Group</w:t>
      </w:r>
      <w:proofErr w:type="spellEnd"/>
      <w:r w:rsidRPr="00CF3D2B">
        <w:rPr>
          <w:sz w:val="28"/>
          <w:szCs w:val="28"/>
        </w:rPr>
        <w:t xml:space="preserve"> (PTG) из Калифорнии ознаменовало собой «прорыв на новый телекоммуникационный уровень». О слиянии было объявлено 1 апреля 1996 г, и совокупная стоимость компаний составила 17 млрд. долл. Это стало третьей по объему сделкой такого рода в истории США.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Трансакция явилась первым слиянием компаний, входящих в корпорацию </w:t>
      </w:r>
      <w:proofErr w:type="spellStart"/>
      <w:r w:rsidRPr="00CF3D2B">
        <w:rPr>
          <w:sz w:val="28"/>
          <w:szCs w:val="28"/>
        </w:rPr>
        <w:t>Bell</w:t>
      </w:r>
      <w:proofErr w:type="spellEnd"/>
      <w:r w:rsidRPr="00CF3D2B">
        <w:rPr>
          <w:sz w:val="28"/>
          <w:szCs w:val="28"/>
        </w:rPr>
        <w:t xml:space="preserve">. Получившаяся в результате слияния компания сразу попала в список 50 крупнейших компаний журнала </w:t>
      </w:r>
      <w:proofErr w:type="spellStart"/>
      <w:r w:rsidRPr="00CF3D2B">
        <w:rPr>
          <w:sz w:val="28"/>
          <w:szCs w:val="28"/>
        </w:rPr>
        <w:t>Fortune</w:t>
      </w:r>
      <w:proofErr w:type="spellEnd"/>
      <w:r w:rsidRPr="00CF3D2B">
        <w:rPr>
          <w:sz w:val="28"/>
          <w:szCs w:val="28"/>
        </w:rPr>
        <w:t xml:space="preserve"> и в то же время стала второй по размерам телекоммуникационной компанией США с ежегодным доходом в 23 млрд. долл. и более чем со 110 тыс. сотрудников. Вместе с тем это вызвало опасения и скептические настроения у регулирующих структур, потребителей, владельцев акций и аналитиков, что могло помешать успешному завершению сделки.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Кроме того, обстановка для слияния была неблагоприятной, особенно в Калифорнии, где подобное крупное слияние в сфере услуг было торпедировано вследствие враждебного отношения регулирующих структур всего за несколько недель до объявления о сделке между SBC и PTG. Пристальное внимание контролирующих органов добавило коммуникационных проблем, ограничив возможности предоставления информации целевой аудитории и создав неопределенность в отношении окончательной даты завершения сделки.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К тому же о слиянии было объявлено менее чем через два месяца после </w:t>
      </w:r>
      <w:r w:rsidRPr="00CF3D2B">
        <w:rPr>
          <w:b/>
          <w:sz w:val="28"/>
          <w:szCs w:val="28"/>
        </w:rPr>
        <w:t>постановления</w:t>
      </w:r>
      <w:r w:rsidRPr="00CF3D2B">
        <w:rPr>
          <w:sz w:val="28"/>
          <w:szCs w:val="28"/>
        </w:rPr>
        <w:t xml:space="preserve"> о реформе в области телекоммуникаций, которое было направлено на </w:t>
      </w:r>
      <w:proofErr w:type="spellStart"/>
      <w:r w:rsidRPr="00CF3D2B">
        <w:rPr>
          <w:sz w:val="28"/>
          <w:szCs w:val="28"/>
        </w:rPr>
        <w:t>дерегулирование</w:t>
      </w:r>
      <w:proofErr w:type="spellEnd"/>
      <w:r w:rsidRPr="00CF3D2B">
        <w:rPr>
          <w:sz w:val="28"/>
          <w:szCs w:val="28"/>
        </w:rPr>
        <w:t xml:space="preserve"> отрасли и создало таким образом условия для </w:t>
      </w:r>
      <w:r w:rsidRPr="00CF3D2B">
        <w:rPr>
          <w:sz w:val="28"/>
          <w:szCs w:val="28"/>
        </w:rPr>
        <w:lastRenderedPageBreak/>
        <w:t>беспрецедентной конкуренции, в то время как SBC и PTG были заняты процессом слияния. Это история о почти двухлетней информационной кампании, в результате которой оппозиция трансформировалась в горячих сторонников и была создана компания, которую всего несколько месяцев спустя после завершения слияния назвали «самой впечатляющей телекоммуникационной компанией мира».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b/>
          <w:i/>
          <w:sz w:val="28"/>
          <w:szCs w:val="28"/>
        </w:rPr>
      </w:pPr>
      <w:r w:rsidRPr="00CF3D2B">
        <w:rPr>
          <w:b/>
          <w:i/>
          <w:sz w:val="28"/>
          <w:szCs w:val="28"/>
        </w:rPr>
        <w:t>Исследование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Во главе вновь образованной компании, сохранившей название SBC, стал президент SBC, и местом расположения компании был избран Техас. В результате отношение к слиянию сотрудников SBC и внешней аудитории оказалось либо «положительным», либо нейтральным. С другой стороны, сразу же после объявления о слиянии были отмечены настороженное к нему отношение сотрудников PTG и негативные отклики со стороны целевой аудитории в Калифорнии. Стандартные методы определения ответной реакции — личные встречи, звонки по горячей телефонной линии, письма, опубликованные в корпоративных изданиях, — и вторичные исследования (анализ публикаций в СМИ) показали, что сотрудники PTG опасались потери имеющихся преимуществ, масштабной реструктуризации и столкновения корпоративных культур. Анализ новостного освещения выявил также, что:</w:t>
      </w:r>
    </w:p>
    <w:p w:rsidR="00CF3D2B" w:rsidRPr="00CF3D2B" w:rsidRDefault="00CF3D2B" w:rsidP="00CF3D2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эксперты по ценным бумагам обеспокоены излишней диверсификацией компании;</w:t>
      </w:r>
    </w:p>
    <w:p w:rsidR="00CF3D2B" w:rsidRPr="00CF3D2B" w:rsidRDefault="00CF3D2B" w:rsidP="00CF3D2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потребители и контролирующие органы назвали слияние препятствующим конкуренции;</w:t>
      </w:r>
    </w:p>
    <w:p w:rsidR="00CF3D2B" w:rsidRPr="00CF3D2B" w:rsidRDefault="00CF3D2B" w:rsidP="00CF3D2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бизнес-аналитики предсказали неблагоприятное влияние на экономику Калифорнии;</w:t>
      </w:r>
    </w:p>
    <w:p w:rsidR="00CF3D2B" w:rsidRPr="00CF3D2B" w:rsidRDefault="00CF3D2B" w:rsidP="00CF3D2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клиенты компании в Калифорнии выразили опасение, что ухудшится качество предоставления услуг;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В этом враждебном окружении SBC с помощью PR-агентства </w:t>
      </w:r>
      <w:proofErr w:type="spellStart"/>
      <w:r w:rsidRPr="00CF3D2B">
        <w:rPr>
          <w:sz w:val="28"/>
          <w:szCs w:val="28"/>
        </w:rPr>
        <w:t>Fleischman</w:t>
      </w:r>
      <w:proofErr w:type="spellEnd"/>
      <w:r w:rsidRPr="00CF3D2B">
        <w:rPr>
          <w:sz w:val="28"/>
          <w:szCs w:val="28"/>
        </w:rPr>
        <w:t xml:space="preserve"> - </w:t>
      </w:r>
      <w:proofErr w:type="spellStart"/>
      <w:r w:rsidRPr="00CF3D2B">
        <w:rPr>
          <w:sz w:val="28"/>
          <w:szCs w:val="28"/>
        </w:rPr>
        <w:t>Hillard</w:t>
      </w:r>
      <w:proofErr w:type="spellEnd"/>
      <w:r w:rsidRPr="00CF3D2B">
        <w:rPr>
          <w:sz w:val="28"/>
          <w:szCs w:val="28"/>
        </w:rPr>
        <w:t xml:space="preserve"> собиралась получить одобрение регулирующих структур, оказать положительное влияние на отношение внутренней и внешней аудитории, </w:t>
      </w:r>
      <w:r w:rsidRPr="00CF3D2B">
        <w:rPr>
          <w:sz w:val="28"/>
          <w:szCs w:val="28"/>
        </w:rPr>
        <w:lastRenderedPageBreak/>
        <w:t>приступить к разработке нового корпоративного имиджа и заложить фундамент для объединения двух компаний.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b/>
          <w:i/>
          <w:sz w:val="28"/>
          <w:szCs w:val="28"/>
        </w:rPr>
      </w:pPr>
      <w:r w:rsidRPr="00CF3D2B">
        <w:rPr>
          <w:b/>
          <w:sz w:val="28"/>
          <w:szCs w:val="28"/>
        </w:rPr>
        <w:t> </w:t>
      </w:r>
      <w:r w:rsidRPr="00CF3D2B">
        <w:rPr>
          <w:b/>
          <w:i/>
          <w:sz w:val="28"/>
          <w:szCs w:val="28"/>
        </w:rPr>
        <w:t>Планирование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Тесное взаимодействие команд финансовых и юридических экспертов из SBC, PTG и </w:t>
      </w:r>
      <w:proofErr w:type="spellStart"/>
      <w:r w:rsidRPr="00CF3D2B">
        <w:rPr>
          <w:sz w:val="28"/>
          <w:szCs w:val="28"/>
        </w:rPr>
        <w:t>Fleischman</w:t>
      </w:r>
      <w:proofErr w:type="spellEnd"/>
      <w:r w:rsidRPr="00CF3D2B">
        <w:rPr>
          <w:sz w:val="28"/>
          <w:szCs w:val="28"/>
        </w:rPr>
        <w:t xml:space="preserve"> - </w:t>
      </w:r>
      <w:proofErr w:type="spellStart"/>
      <w:r w:rsidRPr="00CF3D2B">
        <w:rPr>
          <w:sz w:val="28"/>
          <w:szCs w:val="28"/>
        </w:rPr>
        <w:t>Hillard</w:t>
      </w:r>
      <w:proofErr w:type="spellEnd"/>
      <w:r w:rsidRPr="00CF3D2B">
        <w:rPr>
          <w:sz w:val="28"/>
          <w:szCs w:val="28"/>
        </w:rPr>
        <w:t xml:space="preserve"> должно было помочь определить целевые аудитории, задачи кампании, ее стратегию и временные рамки и разработать план действий.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Цели</w:t>
      </w:r>
    </w:p>
    <w:p w:rsidR="00CF3D2B" w:rsidRPr="00CF3D2B" w:rsidRDefault="00CF3D2B" w:rsidP="00CF3D2B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Заслужить признание Уолл-стрит и убедить владельцев акций, что это слияние является серьезной стратегической сделкой.</w:t>
      </w:r>
    </w:p>
    <w:p w:rsidR="00CF3D2B" w:rsidRPr="00CF3D2B" w:rsidRDefault="00CF3D2B" w:rsidP="00CF3D2B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Получить поддержку для своевременного одобрения слияния со стороны держателей акций, регулирующих органов на федеральном уровне и в соответствующих штатах.</w:t>
      </w:r>
    </w:p>
    <w:p w:rsidR="00CF3D2B" w:rsidRPr="00CF3D2B" w:rsidRDefault="00CF3D2B" w:rsidP="00CF3D2B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Обрести поддержку перспектив слияния и сохранить ее у сотрудников и местной общественности.</w:t>
      </w:r>
    </w:p>
    <w:p w:rsidR="00CF3D2B" w:rsidRPr="00CF3D2B" w:rsidRDefault="00CF3D2B" w:rsidP="00CF3D2B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Сохранить высокий уровень обслуживания клиентов в условиях растущей конкуренции.</w:t>
      </w:r>
    </w:p>
    <w:p w:rsidR="00CF3D2B" w:rsidRPr="00CF3D2B" w:rsidRDefault="00CF3D2B" w:rsidP="00CF3D2B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Целевая аудитория: 1) сотрудники, 2) владельцы акций, 3) специалисты по ценным бумагам, 4) СМИ, 5) представители законодательных и регулирующих органов.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Стратегия</w:t>
      </w:r>
    </w:p>
    <w:p w:rsidR="00CF3D2B" w:rsidRPr="00CF3D2B" w:rsidRDefault="00CF3D2B" w:rsidP="00CF3D2B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Подчеркнуть для целевой аудитории основную идею слияния, заключающуюся в «росте и новых возможностях».</w:t>
      </w:r>
    </w:p>
    <w:p w:rsidR="00CF3D2B" w:rsidRPr="00CF3D2B" w:rsidRDefault="00CF3D2B" w:rsidP="00CF3D2B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Привлечь общественность Калифорнии к распространению информации о преимуществах слияния.</w:t>
      </w:r>
    </w:p>
    <w:p w:rsidR="00CF3D2B" w:rsidRPr="00CF3D2B" w:rsidRDefault="00CF3D2B" w:rsidP="00CF3D2B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426" w:right="120" w:hanging="426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Получить поддержку слияния со стороны сотрудников компании, которые, в свою очередь, окажут положительное влияние на потребителей и жителей районов, в которых сотрудники живут и работают.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b/>
          <w:i/>
          <w:sz w:val="28"/>
          <w:szCs w:val="28"/>
        </w:rPr>
      </w:pPr>
      <w:r w:rsidRPr="00CF3D2B">
        <w:rPr>
          <w:b/>
          <w:sz w:val="28"/>
          <w:szCs w:val="28"/>
        </w:rPr>
        <w:t> </w:t>
      </w:r>
      <w:r w:rsidRPr="00CF3D2B">
        <w:rPr>
          <w:b/>
          <w:i/>
          <w:sz w:val="28"/>
          <w:szCs w:val="28"/>
        </w:rPr>
        <w:t>Реализация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lastRenderedPageBreak/>
        <w:t>Для выполнения задач и осуществления стратегии использовалось все разнообразие коммуникационных средств для воздействия как на внешнюю, так и на внутреннюю аудиторию. Кроме того, процесс осуществления был разделен на мероприятия, приуроченные ко дню объявления о слиянии и ко дню завершения слияния.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Мероприятия </w:t>
      </w:r>
      <w:r w:rsidRPr="00CF3D2B">
        <w:rPr>
          <w:b/>
          <w:i/>
          <w:sz w:val="28"/>
          <w:szCs w:val="28"/>
        </w:rPr>
        <w:t>для внешней аудитории</w:t>
      </w:r>
      <w:r w:rsidRPr="00CF3D2B">
        <w:rPr>
          <w:sz w:val="28"/>
          <w:szCs w:val="28"/>
        </w:rPr>
        <w:t xml:space="preserve"> на предварительном эта</w:t>
      </w:r>
      <w:r w:rsidRPr="00CF3D2B">
        <w:rPr>
          <w:sz w:val="28"/>
          <w:szCs w:val="28"/>
        </w:rPr>
        <w:softHyphen/>
        <w:t xml:space="preserve">пе, приуроченные </w:t>
      </w:r>
      <w:r w:rsidRPr="00CF3D2B">
        <w:rPr>
          <w:b/>
          <w:i/>
          <w:sz w:val="28"/>
          <w:szCs w:val="28"/>
        </w:rPr>
        <w:t>ко дню объявления о слиянии</w:t>
      </w:r>
    </w:p>
    <w:p w:rsidR="00CF3D2B" w:rsidRPr="00CF3D2B" w:rsidRDefault="00CF3D2B" w:rsidP="00CF3D2B">
      <w:pPr>
        <w:pStyle w:val="a3"/>
        <w:numPr>
          <w:ilvl w:val="1"/>
          <w:numId w:val="4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Контакты с национальными СМИ были направлены на распространение сообщений на финансовою тему, в то время как контакты на региональном уровне были ориентированы на информацию, представляющую интерес для местной аудитории, особенно в связи с процессом принятия решения регулирующими структурами штатов.</w:t>
      </w:r>
    </w:p>
    <w:p w:rsidR="00CF3D2B" w:rsidRPr="00CF3D2B" w:rsidRDefault="00CF3D2B" w:rsidP="00CF3D2B">
      <w:pPr>
        <w:pStyle w:val="a3"/>
        <w:numPr>
          <w:ilvl w:val="1"/>
          <w:numId w:val="4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Основной идеей региональной информационной программы было заявление, что объединенная компания создаст в Калифорнии 1000 новых рабочих мест.</w:t>
      </w:r>
    </w:p>
    <w:p w:rsidR="00CF3D2B" w:rsidRPr="00CF3D2B" w:rsidRDefault="00CF3D2B" w:rsidP="00CF3D2B">
      <w:pPr>
        <w:pStyle w:val="a3"/>
        <w:numPr>
          <w:ilvl w:val="1"/>
          <w:numId w:val="4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SBC напрямую работала более чем с сотней групп общественности для определения обязательств перед экономикой и общественностью Калифорнии, включая проект выделения средств в размере 50 млн. долл. для предоставления передовых телекоммуникационных услуг в районах с недостаточным уровнем обслуживания.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Мероприятия </w:t>
      </w:r>
      <w:r w:rsidRPr="00CF3D2B">
        <w:rPr>
          <w:b/>
          <w:i/>
          <w:sz w:val="28"/>
          <w:szCs w:val="28"/>
        </w:rPr>
        <w:t>для внешней аудитории</w:t>
      </w:r>
      <w:r w:rsidRPr="00CF3D2B">
        <w:rPr>
          <w:sz w:val="28"/>
          <w:szCs w:val="28"/>
        </w:rPr>
        <w:t xml:space="preserve"> </w:t>
      </w:r>
      <w:r w:rsidRPr="00CF3D2B">
        <w:rPr>
          <w:b/>
          <w:i/>
          <w:sz w:val="28"/>
          <w:szCs w:val="28"/>
        </w:rPr>
        <w:t>на этапе завершения слияния</w:t>
      </w:r>
    </w:p>
    <w:p w:rsidR="00CF3D2B" w:rsidRPr="00CF3D2B" w:rsidRDefault="00CF3D2B" w:rsidP="00CF3D2B">
      <w:pPr>
        <w:pStyle w:val="a3"/>
        <w:numPr>
          <w:ilvl w:val="1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день завершения слияния SBC организовала в Сан-Франциско мероприятие для местных СМИ, а также информационную телеконференцию для национальных СМИ. Видеозапись этих мероприятий была предоставлена крупнейшим новостным агентствам, которые в тот же день включили ее в свои международные информационные программы.</w:t>
      </w:r>
    </w:p>
    <w:p w:rsidR="00CF3D2B" w:rsidRPr="00CF3D2B" w:rsidRDefault="00CF3D2B" w:rsidP="00CF3D2B">
      <w:pPr>
        <w:pStyle w:val="a3"/>
        <w:numPr>
          <w:ilvl w:val="1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Чтобы подчеркнуть силу объединенной компании и отметить намерение слить две мощные корпорации, SBC изменила свой корпоративный логотип и включила в него элемент «солнечных лучей» из логотипа PTG.</w:t>
      </w:r>
    </w:p>
    <w:p w:rsidR="00CF3D2B" w:rsidRPr="00CF3D2B" w:rsidRDefault="00CF3D2B" w:rsidP="00CF3D2B">
      <w:pPr>
        <w:pStyle w:val="a3"/>
        <w:numPr>
          <w:ilvl w:val="1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lastRenderedPageBreak/>
        <w:t>Методы пропаганды основной идеи кампании варьировались от традиционных информационных наборов до специального информационного сайта SBC в Интернете. Для предотвращения появления в публикациях неточной информации оказались полезными встречи руководителей компании с редакционными коллегиями.</w:t>
      </w:r>
    </w:p>
    <w:p w:rsidR="00CF3D2B" w:rsidRPr="00CF3D2B" w:rsidRDefault="00CF3D2B" w:rsidP="00CF3D2B">
      <w:pPr>
        <w:pStyle w:val="a3"/>
        <w:numPr>
          <w:ilvl w:val="1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Была разработана и внедрена инновационная программа обмена акций, которая позволила владельцам акций регистрироваться напрямую. Программа положила конец сложной банковской процедуре и сделала процесс обмена акциями PTG и SBC простым и надежным. Идея о важности акционеров для новой компании была подтверждена в письме президента SBC и публикацией руководства для владельцев ценных бумаг.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Мероприятия </w:t>
      </w:r>
      <w:r w:rsidRPr="00CF3D2B">
        <w:rPr>
          <w:b/>
          <w:i/>
          <w:sz w:val="28"/>
          <w:szCs w:val="28"/>
        </w:rPr>
        <w:t xml:space="preserve">для внутренней аудитории </w:t>
      </w:r>
      <w:r w:rsidRPr="00CF3D2B">
        <w:rPr>
          <w:sz w:val="28"/>
          <w:szCs w:val="28"/>
        </w:rPr>
        <w:t xml:space="preserve">на предварительном этапе, приуроченные </w:t>
      </w:r>
      <w:r w:rsidRPr="00CF3D2B">
        <w:rPr>
          <w:b/>
          <w:i/>
          <w:sz w:val="28"/>
          <w:szCs w:val="28"/>
        </w:rPr>
        <w:t>ко дню объявления о слиянии</w:t>
      </w:r>
    </w:p>
    <w:p w:rsidR="00CF3D2B" w:rsidRPr="00CF3D2B" w:rsidRDefault="00CF3D2B" w:rsidP="00CF3D2B">
      <w:pPr>
        <w:pStyle w:val="a3"/>
        <w:numPr>
          <w:ilvl w:val="1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день объявления о слиянии два вице-президента компании встретились с сотрудниками, чтобы рассказать о перспективах роста и возможностях развития, которые предлагает объединенная компания.</w:t>
      </w:r>
    </w:p>
    <w:p w:rsidR="00CF3D2B" w:rsidRPr="00CF3D2B" w:rsidRDefault="00CF3D2B" w:rsidP="00CF3D2B">
      <w:pPr>
        <w:pStyle w:val="a3"/>
        <w:numPr>
          <w:ilvl w:val="1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SBC довела до сведения своих сотрудников основные темы встречи, а также предоставила им сопроводительные письма и информационные бюллетени, которые можно было использовать при общении с торговыми палатами и иными общественными группами, чья поддержка или нейтралитет имели важное значение для слияния</w:t>
      </w:r>
    </w:p>
    <w:p w:rsidR="00CF3D2B" w:rsidRPr="00CF3D2B" w:rsidRDefault="00CF3D2B" w:rsidP="00CF3D2B">
      <w:pPr>
        <w:pStyle w:val="a3"/>
        <w:numPr>
          <w:ilvl w:val="1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Менеджеры SBC начали проводить регулярные встречи по месту жительства с сотрудниками PTG в Калифорнии. В течение 12 месяцев со дня объявления о слиянии до окончательного завершения сделки сотрудники имели возможность познакомиться с «истинным лицом» компании на этих мероприятиях.</w:t>
      </w:r>
    </w:p>
    <w:p w:rsidR="00CF3D2B" w:rsidRPr="00CF3D2B" w:rsidRDefault="00CF3D2B" w:rsidP="00CF3D2B">
      <w:pPr>
        <w:pStyle w:val="a3"/>
        <w:numPr>
          <w:ilvl w:val="1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Для предоставления информации о слиянии и его преимуществах использовались существующие инструменты коммуникации, что создавало поддержку для новой компании.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lastRenderedPageBreak/>
        <w:t xml:space="preserve">Мероприятия </w:t>
      </w:r>
      <w:r w:rsidRPr="00CF3D2B">
        <w:rPr>
          <w:b/>
          <w:i/>
          <w:sz w:val="28"/>
          <w:szCs w:val="28"/>
        </w:rPr>
        <w:t>для внутренней аудитории на этапе завершения</w:t>
      </w:r>
      <w:r w:rsidRPr="00CF3D2B">
        <w:rPr>
          <w:sz w:val="28"/>
          <w:szCs w:val="28"/>
        </w:rPr>
        <w:t xml:space="preserve"> слияния</w:t>
      </w:r>
    </w:p>
    <w:p w:rsidR="00CF3D2B" w:rsidRPr="00CF3D2B" w:rsidRDefault="00CF3D2B" w:rsidP="00CF3D2B">
      <w:pPr>
        <w:pStyle w:val="a3"/>
        <w:numPr>
          <w:ilvl w:val="1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день завершения процесса слияния (1 апреля 1997 г.) на десятках предприятий компании были проведены корпоративные праздники, которые начались в Калифорнии и транслировались напрямую (через спутник) для тысяч сотрудников. Общественности был представлен новый корпоративный логотип, а сотрудникам вручили на память журнал и медальон, посвященные этому событию. Чтобы привлечь сотрудников, которые не смогли принять непосредственное участие в праздновании, организаторы разработали специальный подарочный набор, который использовался на последующих мероприятиях после однодневного праздника.</w:t>
      </w:r>
    </w:p>
    <w:p w:rsidR="00CF3D2B" w:rsidRPr="00CF3D2B" w:rsidRDefault="00CF3D2B" w:rsidP="00CF3D2B">
      <w:pPr>
        <w:pStyle w:val="a3"/>
        <w:numPr>
          <w:ilvl w:val="1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SBC учредила специальный корпоративный девиз — «Наше будущее — расти вместе», чтобы увеличить среди сотрудников информированность о слиянии и понимание его значения. Девиз стал ключевым элементом в плотном информационном потоке (факсы, видеозаписи, публикации, информационные сайты внутренней корпоративной сети), который использовался для распространения свежих новостей о слиянии, а также для рассказа об общих перспективах.</w:t>
      </w:r>
    </w:p>
    <w:p w:rsidR="00CF3D2B" w:rsidRPr="00CF3D2B" w:rsidRDefault="00CF3D2B" w:rsidP="00CF3D2B">
      <w:pPr>
        <w:pStyle w:val="a3"/>
        <w:numPr>
          <w:ilvl w:val="1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При участии руководства обеих компаний были образованы более 50 групп сотрудников, задачей которых было выработать инициативы, связанные со слиянием и направленные на увеличение прибыли.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b/>
          <w:sz w:val="28"/>
          <w:szCs w:val="28"/>
        </w:rPr>
      </w:pPr>
      <w:r w:rsidRPr="00CF3D2B">
        <w:rPr>
          <w:sz w:val="28"/>
          <w:szCs w:val="28"/>
        </w:rPr>
        <w:t> </w:t>
      </w:r>
      <w:r w:rsidRPr="00CF3D2B">
        <w:rPr>
          <w:b/>
          <w:sz w:val="28"/>
          <w:szCs w:val="28"/>
        </w:rPr>
        <w:t>Оценка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Внешний анализ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Уолл-стрит активно приветствовал слияние, в результате которого рост курса акций после завершения сделки составил более 50%, с 50 долл. за акцию до более 75 долл.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Последний законодательный барьер — утверждение Калифорнийской комиссией по коммунальным услугам — был успешно преодолен 31 марта 1997 г., через год после объявления о слиянии, что явилось очень коротким сроком с учетом сложности сделки и ее характера. Для сравнения, для </w:t>
      </w:r>
      <w:r w:rsidRPr="00CF3D2B">
        <w:rPr>
          <w:sz w:val="28"/>
          <w:szCs w:val="28"/>
        </w:rPr>
        <w:lastRenderedPageBreak/>
        <w:t xml:space="preserve">завершения слияния между </w:t>
      </w:r>
      <w:proofErr w:type="spellStart"/>
      <w:r w:rsidRPr="00CF3D2B">
        <w:rPr>
          <w:sz w:val="28"/>
          <w:szCs w:val="28"/>
        </w:rPr>
        <w:t>Bell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Atlantic</w:t>
      </w:r>
      <w:proofErr w:type="spellEnd"/>
      <w:r w:rsidRPr="00CF3D2B">
        <w:rPr>
          <w:sz w:val="28"/>
          <w:szCs w:val="28"/>
        </w:rPr>
        <w:t xml:space="preserve"> и NYNEX, о котором было объявлено через три недели после оповещения о сделке SBC и PTG, потребовалось на четыре месяца больше.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Всего лишь две почтовые рассылки вызвали живейший отклик у акционеров, что дало беспрецедентный показатель принявших участие в инновационной программе обмена акций — 90%. Элементы программы были приняты на вооружение </w:t>
      </w:r>
      <w:proofErr w:type="spellStart"/>
      <w:r w:rsidRPr="00CF3D2B">
        <w:rPr>
          <w:sz w:val="28"/>
          <w:szCs w:val="28"/>
        </w:rPr>
        <w:t>Bank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of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New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York</w:t>
      </w:r>
      <w:proofErr w:type="spellEnd"/>
      <w:r w:rsidRPr="00CF3D2B">
        <w:rPr>
          <w:sz w:val="28"/>
          <w:szCs w:val="28"/>
        </w:rPr>
        <w:t>, который использовал их для своих клиентов, покупающих и обменивающих ценные бумаги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течение однолетнего периода утверждения сделки анализ СМИ выявил более чем пятикратное увеличение положительных откликов со стороны потребителей, законодательных и контролирующих органов, в то время как количество негативных откликов со стороны этой группы осталось на прежнем уровне.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В «Анализе уровня обслуживания клиентов телекоммуникационных компаний в 1997 г.», подготовленном агентством J.D. </w:t>
      </w:r>
      <w:proofErr w:type="spellStart"/>
      <w:r w:rsidRPr="00CF3D2B">
        <w:rPr>
          <w:sz w:val="28"/>
          <w:szCs w:val="28"/>
        </w:rPr>
        <w:t>Power</w:t>
      </w:r>
      <w:proofErr w:type="spellEnd"/>
      <w:r w:rsidRPr="00CF3D2B">
        <w:rPr>
          <w:sz w:val="28"/>
          <w:szCs w:val="28"/>
        </w:rPr>
        <w:t xml:space="preserve"> &amp; </w:t>
      </w:r>
      <w:proofErr w:type="spellStart"/>
      <w:r w:rsidRPr="00CF3D2B">
        <w:rPr>
          <w:sz w:val="28"/>
          <w:szCs w:val="28"/>
        </w:rPr>
        <w:t>Associates</w:t>
      </w:r>
      <w:proofErr w:type="spellEnd"/>
      <w:r w:rsidRPr="00CF3D2B">
        <w:rPr>
          <w:sz w:val="28"/>
          <w:szCs w:val="28"/>
        </w:rPr>
        <w:t xml:space="preserve">, две крупнейшие компании SBC, </w:t>
      </w:r>
      <w:proofErr w:type="spellStart"/>
      <w:r w:rsidRPr="00CF3D2B">
        <w:rPr>
          <w:sz w:val="28"/>
          <w:szCs w:val="28"/>
        </w:rPr>
        <w:t>Pacific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Bell</w:t>
      </w:r>
      <w:proofErr w:type="spellEnd"/>
      <w:r w:rsidRPr="00CF3D2B">
        <w:rPr>
          <w:sz w:val="28"/>
          <w:szCs w:val="28"/>
        </w:rPr>
        <w:t xml:space="preserve"> и </w:t>
      </w:r>
      <w:proofErr w:type="spellStart"/>
      <w:r w:rsidRPr="00CF3D2B">
        <w:rPr>
          <w:sz w:val="28"/>
          <w:szCs w:val="28"/>
        </w:rPr>
        <w:t>Southwestern</w:t>
      </w:r>
      <w:proofErr w:type="spellEnd"/>
      <w:r w:rsidRPr="00CF3D2B">
        <w:rPr>
          <w:sz w:val="28"/>
          <w:szCs w:val="28"/>
        </w:rPr>
        <w:t xml:space="preserve"> </w:t>
      </w:r>
      <w:proofErr w:type="spellStart"/>
      <w:r w:rsidRPr="00CF3D2B">
        <w:rPr>
          <w:sz w:val="28"/>
          <w:szCs w:val="28"/>
        </w:rPr>
        <w:t>Bell</w:t>
      </w:r>
      <w:proofErr w:type="spellEnd"/>
      <w:r w:rsidRPr="00CF3D2B">
        <w:rPr>
          <w:sz w:val="28"/>
          <w:szCs w:val="28"/>
        </w:rPr>
        <w:t>, заняли соответственно 2-е и 3-е места по уровню обслуживания среди 13 крупнейших телефонных компаний США, несмотря на опасения из-за слияния.</w:t>
      </w:r>
    </w:p>
    <w:p w:rsidR="00CF3D2B" w:rsidRPr="00CF3D2B" w:rsidRDefault="00CF3D2B" w:rsidP="00CF3D2B">
      <w:pPr>
        <w:pStyle w:val="a3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 xml:space="preserve">В качестве еще одного примера дальнейшего признания со стороны внешней целевой аудитории журнал </w:t>
      </w:r>
      <w:proofErr w:type="spellStart"/>
      <w:r w:rsidRPr="00CF3D2B">
        <w:rPr>
          <w:sz w:val="28"/>
          <w:szCs w:val="28"/>
        </w:rPr>
        <w:t>Fortune</w:t>
      </w:r>
      <w:proofErr w:type="spellEnd"/>
      <w:r w:rsidRPr="00CF3D2B">
        <w:rPr>
          <w:sz w:val="28"/>
          <w:szCs w:val="28"/>
        </w:rPr>
        <w:t xml:space="preserve"> всего лишь шесть месяцев спустя после завершения слияния назвал SBC, представляя глобальных лидеров отрасли, «самой впечатляющей телекоммуникационной компанией в мире». Компания заняла также первое место в рейтинге журнала </w:t>
      </w:r>
      <w:proofErr w:type="spellStart"/>
      <w:r w:rsidRPr="00CF3D2B">
        <w:rPr>
          <w:sz w:val="28"/>
          <w:szCs w:val="28"/>
        </w:rPr>
        <w:t>Fortune</w:t>
      </w:r>
      <w:proofErr w:type="spellEnd"/>
      <w:r w:rsidRPr="00CF3D2B">
        <w:rPr>
          <w:sz w:val="28"/>
          <w:szCs w:val="28"/>
        </w:rPr>
        <w:t xml:space="preserve"> за 1997 г. в качестве «самой впечатляющей телекоммуникационной компании Америки», попадая в верхние строчки рейтингов уже третий год подряд. Рейтинги журнала </w:t>
      </w:r>
      <w:proofErr w:type="spellStart"/>
      <w:r w:rsidRPr="00CF3D2B">
        <w:rPr>
          <w:sz w:val="28"/>
          <w:szCs w:val="28"/>
        </w:rPr>
        <w:t>Fortune</w:t>
      </w:r>
      <w:proofErr w:type="spellEnd"/>
      <w:r w:rsidRPr="00CF3D2B">
        <w:rPr>
          <w:sz w:val="28"/>
          <w:szCs w:val="28"/>
        </w:rPr>
        <w:t xml:space="preserve"> отражают мнение специалистов по ценным бумагам, руководителей компаний отрасли и ведущих представителей делового мира.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Внутренний анализ</w:t>
      </w:r>
    </w:p>
    <w:p w:rsidR="00CF3D2B" w:rsidRPr="00CF3D2B" w:rsidRDefault="00CF3D2B" w:rsidP="00CF3D2B">
      <w:pPr>
        <w:pStyle w:val="a3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lastRenderedPageBreak/>
        <w:t>В январе 1998 г фокус-группы, проведенные среди сотрудников более десятка предприятий в Калифорнии, показали наличие сильной поддержки новой организационной и коммерческой политики руководства SBC и полное понимание приоритетов компании и стратегии роста.</w:t>
      </w:r>
    </w:p>
    <w:p w:rsidR="00CF3D2B" w:rsidRPr="00CF3D2B" w:rsidRDefault="00CF3D2B" w:rsidP="00CF3D2B">
      <w:pPr>
        <w:pStyle w:val="a3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период законодательного одобрения лояльность сотрудников компании оставалась высокой, особенно среди ведущих менеджеров. Сохранение высокого уровня обслуживания клиентов показало, что сотрудники компании продолжали добросовестно выполнять свои обязанности в период утверждения сделки и после завершения слияния.</w:t>
      </w:r>
    </w:p>
    <w:p w:rsidR="00CF3D2B" w:rsidRPr="00CF3D2B" w:rsidRDefault="00CF3D2B" w:rsidP="00CF3D2B">
      <w:pPr>
        <w:pStyle w:val="a3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Благодаря своей популярности встречи руководства SBC с сотрудниками по месту жительства, начавшиеся после объявления о слиянии, продолжаются и по сей день.</w:t>
      </w:r>
    </w:p>
    <w:p w:rsidR="00CF3D2B" w:rsidRPr="00CF3D2B" w:rsidRDefault="00CF3D2B" w:rsidP="00CF3D2B">
      <w:pPr>
        <w:pStyle w:val="a3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1997 г. сотрудники выработали более 250 инициатив, направленных на превращение двух компаний в одну. В результате компания достигла цели, намеченной на 2000 г., — увеличить размеры чистого дохода до 1 млрд. долл. только за счет инициатив, связанных со слиянием.</w:t>
      </w:r>
    </w:p>
    <w:p w:rsidR="00CF3D2B" w:rsidRPr="00CF3D2B" w:rsidRDefault="00CF3D2B" w:rsidP="00CF3D2B">
      <w:pPr>
        <w:pStyle w:val="a3"/>
        <w:numPr>
          <w:ilvl w:val="1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right="120" w:firstLine="0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Несмотря на изменения в формате, дизайне и стратегическом направлении, SBC сохранила инструменты коммуникаций (рассылку по факсимильной связи, публикации, сайты корпоративной сети), первоначально созданные в период, последовавший за завершением слияния.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both"/>
        <w:rPr>
          <w:sz w:val="28"/>
          <w:szCs w:val="28"/>
        </w:rPr>
      </w:pPr>
      <w:r w:rsidRPr="00CF3D2B">
        <w:rPr>
          <w:sz w:val="28"/>
          <w:szCs w:val="28"/>
        </w:rPr>
        <w:t>В итоге информационная поддержка слияния SBC и PTG достигла успеха на всех фронтах: регулирующие органы одобрили сделку в достаточно короткий срок; эксперты по ценным бумагам и руководители других компаний отрасли приветствовали создание объединенной компании; акционеры обменивали свои акции в беспрецедентном количестве; местная общественность поддержала сделку; медиа-освещение было крайне благоприятным; а сотрудники разобрались в стратегии, преимуществах и возможностях объединенной компании.</w:t>
      </w:r>
    </w:p>
    <w:p w:rsidR="00CF3D2B" w:rsidRPr="00CF3D2B" w:rsidRDefault="00CF3D2B" w:rsidP="00CF3D2B">
      <w:pPr>
        <w:pStyle w:val="a3"/>
        <w:shd w:val="clear" w:color="auto" w:fill="FFFFFF"/>
        <w:spacing w:before="0" w:beforeAutospacing="0" w:after="0" w:afterAutospacing="0" w:line="360" w:lineRule="auto"/>
        <w:ind w:right="120" w:firstLine="567"/>
        <w:jc w:val="center"/>
        <w:rPr>
          <w:i/>
          <w:sz w:val="28"/>
          <w:szCs w:val="28"/>
        </w:rPr>
      </w:pPr>
      <w:r w:rsidRPr="00CF3D2B">
        <w:rPr>
          <w:i/>
          <w:sz w:val="28"/>
          <w:szCs w:val="28"/>
        </w:rPr>
        <w:t>Вопросы к кейсу:</w:t>
      </w:r>
    </w:p>
    <w:p w:rsidR="006C4095" w:rsidRDefault="00CF3D2B" w:rsidP="006C409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F3D2B">
        <w:rPr>
          <w:sz w:val="28"/>
          <w:szCs w:val="28"/>
        </w:rPr>
        <w:lastRenderedPageBreak/>
        <w:t>Какие мероприятия и инструменты должны быть применены для осуществления информационной поддержки и формирования мнения заинтересованных контактных аудиторий при планировании и реализации изменений? Приведите примеры на основе кейса и другие примеры.</w:t>
      </w:r>
    </w:p>
    <w:p w:rsidR="006C4095" w:rsidRPr="006C4095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C4095">
        <w:rPr>
          <w:sz w:val="28"/>
          <w:szCs w:val="28"/>
        </w:rPr>
        <w:t xml:space="preserve">В данном случае в момент изменений компании были выражены негативные отзывы сотрудников компании и </w:t>
      </w:r>
      <w:proofErr w:type="spellStart"/>
      <w:r w:rsidRPr="006C4095">
        <w:rPr>
          <w:sz w:val="28"/>
          <w:szCs w:val="28"/>
        </w:rPr>
        <w:t>настороженое</w:t>
      </w:r>
      <w:proofErr w:type="spellEnd"/>
      <w:r w:rsidRPr="006C4095">
        <w:rPr>
          <w:sz w:val="28"/>
          <w:szCs w:val="28"/>
        </w:rPr>
        <w:t xml:space="preserve"> их мнение об этих изменениях. Стандартные методы определения ответной реакции — личные встречи, звонки по горячей телефонной линии, письма, опубликованные в корпоративных изданиях, — и вторичные исследования. Среди мероприятия которые были направлены на поддержку аудиторий мы можем выделить:</w:t>
      </w:r>
    </w:p>
    <w:p w:rsidR="006C4095" w:rsidRPr="00CE0D1A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E0D1A">
        <w:rPr>
          <w:sz w:val="28"/>
          <w:szCs w:val="28"/>
        </w:rPr>
        <w:t>онтакты с национальными СМИ;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заявление в прессе, что объединенная компания создаст в Калифорнии 1000 новых рабочих мест;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проект выделения средств в размере 50 млн. долл. для предоставления передовых телекоммуникационных услуг в районах с недостаточным уровнем обслуживания.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мероприятия направленные на поддержку внешних аудиторий компании;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изменение корпоративного логотипа;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E0D1A">
        <w:rPr>
          <w:sz w:val="28"/>
          <w:szCs w:val="28"/>
        </w:rPr>
        <w:t>информационныq</w:t>
      </w:r>
      <w:proofErr w:type="spellEnd"/>
      <w:r w:rsidRPr="00CE0D1A">
        <w:rPr>
          <w:sz w:val="28"/>
          <w:szCs w:val="28"/>
        </w:rPr>
        <w:t xml:space="preserve"> набор и сайт в интернете;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0D1A">
        <w:rPr>
          <w:sz w:val="28"/>
          <w:szCs w:val="28"/>
        </w:rPr>
        <w:t>ыла разработана и внедрена инновационная программа обмена акций;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предоставление сотрудникам сопроводительных писем компании;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регулярные встречи по месту жительства с сотрудниками PTG в Калифорнии;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0D1A">
        <w:rPr>
          <w:sz w:val="28"/>
          <w:szCs w:val="28"/>
        </w:rPr>
        <w:t>бщественности был представлен новый корпоративный логотип, а сотрудникам вручили на память журнал и медальон;</w:t>
      </w:r>
    </w:p>
    <w:p w:rsidR="006C4095" w:rsidRPr="00CE0D1A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SBC учредила специальный корпоративный девиз — «Наше будущее — расти вместе»;</w:t>
      </w:r>
    </w:p>
    <w:p w:rsidR="006C4095" w:rsidRDefault="006C4095" w:rsidP="006C409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lastRenderedPageBreak/>
        <w:t>были образованы более 50 групп сотрудников, задачей которых было выработать инициативы, связанные со слиянием и направленные на увеличение прибыли.</w:t>
      </w:r>
    </w:p>
    <w:p w:rsidR="006C4095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Приведем пример методов поддержки другой компании </w:t>
      </w:r>
      <w:r>
        <w:rPr>
          <w:sz w:val="28"/>
          <w:szCs w:val="28"/>
          <w:lang w:val="en-US"/>
        </w:rPr>
        <w:t>Dell</w:t>
      </w:r>
      <w:r w:rsidRPr="00CE0D1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 на поддержку сотрудников и контактных аудиторий компании.</w:t>
      </w:r>
    </w:p>
    <w:p w:rsidR="006C4095" w:rsidRPr="00CE0D1A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Среди их методов можно выделить следующие</w:t>
      </w:r>
      <w:r w:rsidRPr="00CE0D1A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Pr="00CE0D1A">
        <w:rPr>
          <w:sz w:val="28"/>
          <w:szCs w:val="28"/>
        </w:rPr>
        <w:t>:</w:t>
      </w:r>
    </w:p>
    <w:p w:rsidR="006C4095" w:rsidRPr="00CE0D1A" w:rsidRDefault="006C4095" w:rsidP="006C409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E0D1A">
        <w:rPr>
          <w:sz w:val="28"/>
          <w:szCs w:val="28"/>
        </w:rPr>
        <w:t>ать в СМИ серию публикаций, рассчитанных на «думающую» аудиторию, статей, в которых будут излагаться необходимые послания.</w:t>
      </w:r>
    </w:p>
    <w:p w:rsidR="006C4095" w:rsidRPr="00CE0D1A" w:rsidRDefault="006C4095" w:rsidP="006C409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 xml:space="preserve">Четко сформулировать для своих сотрудников и прочей аудитории тезис «Культура </w:t>
      </w:r>
      <w:proofErr w:type="spellStart"/>
      <w:r w:rsidRPr="00CE0D1A">
        <w:rPr>
          <w:sz w:val="28"/>
          <w:szCs w:val="28"/>
        </w:rPr>
        <w:t>Dell</w:t>
      </w:r>
      <w:proofErr w:type="spellEnd"/>
      <w:r w:rsidRPr="00CE0D1A">
        <w:rPr>
          <w:sz w:val="28"/>
          <w:szCs w:val="28"/>
        </w:rPr>
        <w:t xml:space="preserve"> », подкрепляя его конкретными примерами превосходного клиентского сервиса, приверженности качеству продукции и безупречного маркетинга.</w:t>
      </w:r>
    </w:p>
    <w:p w:rsidR="006C4095" w:rsidRPr="00CE0D1A" w:rsidRDefault="006C4095" w:rsidP="006C409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>Пользоваться любой возможностью для рекламы улучшающихся финансовых показателей компании.</w:t>
      </w:r>
    </w:p>
    <w:p w:rsidR="006C4095" w:rsidRPr="006C4095" w:rsidRDefault="006C4095" w:rsidP="006C409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E0D1A">
        <w:rPr>
          <w:sz w:val="28"/>
          <w:szCs w:val="28"/>
        </w:rPr>
        <w:t xml:space="preserve">Заставить всех удостовериться в лидирующем положении </w:t>
      </w:r>
      <w:proofErr w:type="spellStart"/>
      <w:r w:rsidRPr="00CE0D1A">
        <w:rPr>
          <w:sz w:val="28"/>
          <w:szCs w:val="28"/>
        </w:rPr>
        <w:t>Dell</w:t>
      </w:r>
      <w:proofErr w:type="spellEnd"/>
      <w:r w:rsidRPr="00CE0D1A">
        <w:rPr>
          <w:sz w:val="28"/>
          <w:szCs w:val="28"/>
        </w:rPr>
        <w:t xml:space="preserve"> , четко улавливая то, какие продукты на рынке пользуются спросом, а какие выходят в тираж.</w:t>
      </w:r>
    </w:p>
    <w:p w:rsidR="006C4095" w:rsidRPr="006C4095" w:rsidRDefault="006C4095" w:rsidP="006C409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C4095">
        <w:rPr>
          <w:sz w:val="28"/>
          <w:szCs w:val="28"/>
        </w:rPr>
        <w:t>Как связаны различные коммуникационные мероприятия по поддержке изменений с этапами реализации изменений?</w:t>
      </w:r>
    </w:p>
    <w:p w:rsidR="006C4095" w:rsidRPr="006C4095" w:rsidRDefault="006C4095" w:rsidP="005077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C4095">
        <w:rPr>
          <w:sz w:val="28"/>
          <w:szCs w:val="28"/>
        </w:rPr>
        <w:t>Выделим план по реализации изменений в большинстве компаний и основные задачи по фазам проектов.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2"/>
        <w:gridCol w:w="1757"/>
        <w:gridCol w:w="1740"/>
        <w:gridCol w:w="1668"/>
        <w:gridCol w:w="2358"/>
      </w:tblGrid>
      <w:tr w:rsidR="006C4095" w:rsidRPr="00DF5F47" w:rsidTr="00FE0564">
        <w:tc>
          <w:tcPr>
            <w:tcW w:w="1867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 xml:space="preserve">Инициирование проекта Финальная подготовка </w:t>
            </w:r>
          </w:p>
        </w:tc>
        <w:tc>
          <w:tcPr>
            <w:tcW w:w="1799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Концептуальный план</w:t>
            </w:r>
          </w:p>
        </w:tc>
        <w:tc>
          <w:tcPr>
            <w:tcW w:w="1783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Дизайн, реализация и тестирование</w:t>
            </w:r>
          </w:p>
        </w:tc>
        <w:tc>
          <w:tcPr>
            <w:tcW w:w="1709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Финальная подготовка</w:t>
            </w:r>
          </w:p>
        </w:tc>
        <w:tc>
          <w:tcPr>
            <w:tcW w:w="2413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Интенсивная поддержка</w:t>
            </w:r>
          </w:p>
        </w:tc>
      </w:tr>
      <w:tr w:rsidR="006C4095" w:rsidRPr="00DF5F47" w:rsidTr="00FE0564">
        <w:tc>
          <w:tcPr>
            <w:tcW w:w="1867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 xml:space="preserve">1.Атмосфера безотлагательных действий 2.Формирование команды </w:t>
            </w:r>
            <w:r w:rsidRPr="00DF5F47">
              <w:rPr>
                <w:sz w:val="28"/>
                <w:szCs w:val="28"/>
              </w:rPr>
              <w:lastRenderedPageBreak/>
              <w:t>3.Создание видения</w:t>
            </w:r>
          </w:p>
        </w:tc>
        <w:tc>
          <w:tcPr>
            <w:tcW w:w="1799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lastRenderedPageBreak/>
              <w:t>3.Согласование видения 4.Коммуникация нового видения</w:t>
            </w:r>
          </w:p>
        </w:tc>
        <w:tc>
          <w:tcPr>
            <w:tcW w:w="1783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4.Коммуникация нового видения 5.Создание условий для претворени</w:t>
            </w:r>
            <w:r w:rsidRPr="00DF5F47">
              <w:rPr>
                <w:sz w:val="28"/>
                <w:szCs w:val="28"/>
              </w:rPr>
              <w:lastRenderedPageBreak/>
              <w:t>я нового видения в жизнь 6.Планирование и достижение ближайших результатов</w:t>
            </w:r>
          </w:p>
        </w:tc>
        <w:tc>
          <w:tcPr>
            <w:tcW w:w="1709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lastRenderedPageBreak/>
              <w:t>7.Закрепление достижений и расширение преобразований</w:t>
            </w:r>
          </w:p>
        </w:tc>
        <w:tc>
          <w:tcPr>
            <w:tcW w:w="2413" w:type="dxa"/>
          </w:tcPr>
          <w:p w:rsidR="006C4095" w:rsidRPr="00DF5F47" w:rsidRDefault="006C4095" w:rsidP="00FE0564">
            <w:pPr>
              <w:pStyle w:val="a3"/>
              <w:spacing w:before="0" w:beforeAutospacing="0" w:after="0" w:afterAutospacing="0"/>
              <w:ind w:right="120"/>
              <w:jc w:val="both"/>
              <w:rPr>
                <w:sz w:val="28"/>
                <w:szCs w:val="28"/>
              </w:rPr>
            </w:pPr>
            <w:r w:rsidRPr="00DF5F47">
              <w:rPr>
                <w:sz w:val="28"/>
                <w:szCs w:val="28"/>
              </w:rPr>
              <w:t>8.Институционализация новых подходов</w:t>
            </w:r>
          </w:p>
        </w:tc>
      </w:tr>
    </w:tbl>
    <w:p w:rsidR="006C4095" w:rsidRPr="00DF5F47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F47">
        <w:rPr>
          <w:sz w:val="28"/>
          <w:szCs w:val="28"/>
        </w:rPr>
        <w:lastRenderedPageBreak/>
        <w:t>В большинстве проектов изменения снижают производительность и эффективность организации с начала внедрения проекта (из-за страхов, нежелания что-либо менять).</w:t>
      </w:r>
    </w:p>
    <w:p w:rsidR="006C4095" w:rsidRPr="00DF5F47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F47">
        <w:rPr>
          <w:sz w:val="28"/>
          <w:szCs w:val="28"/>
        </w:rPr>
        <w:t>Наибольший негативный эффект на производительности сказывается сразу после запуска проекта (долина отчаяния) и восстанавливается</w:t>
      </w:r>
      <w:r>
        <w:rPr>
          <w:sz w:val="28"/>
          <w:szCs w:val="28"/>
        </w:rPr>
        <w:t xml:space="preserve"> </w:t>
      </w:r>
      <w:r w:rsidRPr="00DF5F47">
        <w:rPr>
          <w:sz w:val="28"/>
          <w:szCs w:val="28"/>
        </w:rPr>
        <w:t>через несколько месяцев (3-6) после запуска.</w:t>
      </w:r>
    </w:p>
    <w:p w:rsidR="006C4095" w:rsidRPr="00DF5F47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F47">
        <w:rPr>
          <w:sz w:val="28"/>
          <w:szCs w:val="28"/>
        </w:rPr>
        <w:t>Согласовано видение проекта, каналы донесения информации, целевые группы:</w:t>
      </w:r>
    </w:p>
    <w:p w:rsidR="006C4095" w:rsidRPr="00DF5F47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F47">
        <w:rPr>
          <w:sz w:val="28"/>
          <w:szCs w:val="28"/>
        </w:rPr>
        <w:t>• Обеспечен непрерывный и эффективный контакт с организацией</w:t>
      </w:r>
      <w:r w:rsidR="0049142E">
        <w:rPr>
          <w:sz w:val="28"/>
          <w:szCs w:val="28"/>
        </w:rPr>
        <w:t>.</w:t>
      </w:r>
    </w:p>
    <w:p w:rsidR="006C4095" w:rsidRPr="00DF5F47" w:rsidRDefault="006C4095" w:rsidP="006C40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F47">
        <w:rPr>
          <w:sz w:val="28"/>
          <w:szCs w:val="28"/>
        </w:rPr>
        <w:t>• Сотрудники знают о целях внедрения программы, понимают, как она повлияет на них лично и их отдел, позитивн</w:t>
      </w:r>
      <w:r w:rsidR="0049142E">
        <w:rPr>
          <w:sz w:val="28"/>
          <w:szCs w:val="28"/>
        </w:rPr>
        <w:t>о воспринимают данное изменение.</w:t>
      </w:r>
    </w:p>
    <w:p w:rsidR="003045DB" w:rsidRPr="00CF3D2B" w:rsidRDefault="003045DB"/>
    <w:sectPr w:rsidR="003045DB" w:rsidRPr="00CF3D2B" w:rsidSect="0042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D1E"/>
    <w:multiLevelType w:val="hybridMultilevel"/>
    <w:tmpl w:val="C4741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E3F24"/>
    <w:multiLevelType w:val="hybridMultilevel"/>
    <w:tmpl w:val="03760C7C"/>
    <w:lvl w:ilvl="0" w:tplc="B36A683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F91896"/>
    <w:multiLevelType w:val="hybridMultilevel"/>
    <w:tmpl w:val="C1765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A517C"/>
    <w:multiLevelType w:val="hybridMultilevel"/>
    <w:tmpl w:val="A628EC18"/>
    <w:lvl w:ilvl="0" w:tplc="407C55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D015E6"/>
    <w:multiLevelType w:val="hybridMultilevel"/>
    <w:tmpl w:val="753C0FFA"/>
    <w:lvl w:ilvl="0" w:tplc="407C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C6492"/>
    <w:multiLevelType w:val="hybridMultilevel"/>
    <w:tmpl w:val="137E3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CB484D"/>
    <w:multiLevelType w:val="hybridMultilevel"/>
    <w:tmpl w:val="DC58C1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FB3CFC"/>
    <w:multiLevelType w:val="hybridMultilevel"/>
    <w:tmpl w:val="BC489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6E2950"/>
    <w:multiLevelType w:val="hybridMultilevel"/>
    <w:tmpl w:val="17927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62234E"/>
    <w:multiLevelType w:val="hybridMultilevel"/>
    <w:tmpl w:val="4968A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8166E3"/>
    <w:multiLevelType w:val="hybridMultilevel"/>
    <w:tmpl w:val="DD826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A878C6"/>
    <w:multiLevelType w:val="hybridMultilevel"/>
    <w:tmpl w:val="C4EC0FCE"/>
    <w:lvl w:ilvl="0" w:tplc="04190001">
      <w:start w:val="1"/>
      <w:numFmt w:val="bullet"/>
      <w:lvlText w:val=""/>
      <w:lvlJc w:val="left"/>
      <w:pPr>
        <w:ind w:left="2097" w:hanging="1530"/>
      </w:pPr>
      <w:rPr>
        <w:rFonts w:ascii="Symbol" w:hAnsi="Symbol" w:hint="default"/>
      </w:rPr>
    </w:lvl>
    <w:lvl w:ilvl="1" w:tplc="959C1C60">
      <w:numFmt w:val="bullet"/>
      <w:lvlText w:val=""/>
      <w:lvlJc w:val="left"/>
      <w:pPr>
        <w:ind w:left="2817" w:hanging="153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CB"/>
    <w:rsid w:val="003045DB"/>
    <w:rsid w:val="0049142E"/>
    <w:rsid w:val="00507739"/>
    <w:rsid w:val="006C4095"/>
    <w:rsid w:val="00A46041"/>
    <w:rsid w:val="00CF3D2B"/>
    <w:rsid w:val="00C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F987-BE3A-4CCC-BDFB-1429CB62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2020-09-17T21:33:00Z</dcterms:created>
  <dcterms:modified xsi:type="dcterms:W3CDTF">2020-09-17T21:33:00Z</dcterms:modified>
</cp:coreProperties>
</file>